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1A5A0">
      <w:pPr>
        <w:jc w:val="center"/>
        <w:rPr>
          <w:b/>
          <w:sz w:val="28"/>
          <w:szCs w:val="28"/>
        </w:rPr>
      </w:pPr>
      <w:r>
        <w:rPr>
          <w:rStyle w:val="9"/>
          <w:rFonts w:hint="eastAsia"/>
          <w:b/>
          <w:color w:val="323232"/>
          <w:sz w:val="28"/>
          <w:szCs w:val="28"/>
        </w:rPr>
        <w:t>理学院教学质量优秀奖评选指标体系及程序</w:t>
      </w:r>
    </w:p>
    <w:p w14:paraId="6C755600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323232"/>
          <w:kern w:val="0"/>
          <w:sz w:val="18"/>
          <w:szCs w:val="18"/>
        </w:rPr>
        <w:t>一、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参评条件</w:t>
      </w:r>
    </w:p>
    <w:p w14:paraId="30BC7E93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1、积极承担本科教学任务，本学年的教学工作量达到学校规定的满额教学工作量。</w:t>
      </w:r>
    </w:p>
    <w:p w14:paraId="45BD4209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2、教学内容符合人才培养要求，合理运用恰当的教学手段和教学方法，教学信息量适中，教学效果好；上一年度教学质量考核排名后30%者不得申报。</w:t>
      </w:r>
    </w:p>
    <w:p w14:paraId="2DD916BE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3、积极开展课程建设、专业建设、实验室建设等基本建设工作，努力提高授课艺术，精心组织各个教学环节，认真批改作业，按时辅导答疑。</w:t>
      </w:r>
    </w:p>
    <w:p w14:paraId="7DB2D300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4、积极开展教学研究，认真研究教学规律、教学方法，积极进行教学改革。</w:t>
      </w:r>
    </w:p>
    <w:p w14:paraId="2197E39E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5、热爱教育事业，具有奉献精神，在政治思想、道德品质、文明修养、治学态度等方面都能严以律己，为人师表，无教学事故。</w:t>
      </w:r>
    </w:p>
    <w:p w14:paraId="451D774B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6、热爱学生，从政治思想、道德品质、学习态度、学习方法、班风建设、帮助就业等各方面关心学生，对学生严格要求，结合教学认真开展教书育人工作，引导学生端正学习态度，培养学生良好道德素质、治学精神和创新能力贯穿在教学环节中，在学风建设方面有成效。</w:t>
      </w:r>
    </w:p>
    <w:p w14:paraId="1F2F94A0">
      <w:pPr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7、青年教师（40周岁以下）必须参加学校组织的青年教师课堂大赛、实践教学大赛、多媒体课件大赛及优秀教案大赛等，并获三等奖及以上。</w:t>
      </w:r>
    </w:p>
    <w:p w14:paraId="7B09751E">
      <w:pPr>
        <w:rPr>
          <w:rFonts w:ascii="仿宋" w:hAnsi="仿宋" w:eastAsia="仿宋" w:cs="宋体"/>
          <w:color w:val="323232"/>
          <w:kern w:val="0"/>
          <w:sz w:val="24"/>
          <w:szCs w:val="24"/>
        </w:rPr>
      </w:pPr>
    </w:p>
    <w:p w14:paraId="2A2C1C54">
      <w:pPr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8、需在学院内部上公开课一次。</w:t>
      </w:r>
    </w:p>
    <w:p w14:paraId="752D286B">
      <w:pPr>
        <w:rPr>
          <w:rFonts w:ascii="微软雅黑" w:hAnsi="微软雅黑" w:eastAsia="微软雅黑" w:cs="宋体"/>
          <w:color w:val="323232"/>
          <w:kern w:val="0"/>
          <w:sz w:val="18"/>
          <w:szCs w:val="18"/>
        </w:rPr>
      </w:pPr>
    </w:p>
    <w:p w14:paraId="12DAA3C9">
      <w:pPr>
        <w:widowControl/>
        <w:spacing w:before="100" w:beforeAutospacing="1" w:after="100" w:afterAutospacing="1"/>
        <w:jc w:val="left"/>
        <w:rPr>
          <w:rFonts w:hint="eastAsia" w:ascii="微软雅黑" w:hAnsi="微软雅黑" w:eastAsia="微软雅黑" w:cs="宋体"/>
          <w:color w:val="323232"/>
          <w:kern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宋体"/>
          <w:color w:val="323232"/>
          <w:kern w:val="0"/>
          <w:sz w:val="18"/>
          <w:szCs w:val="18"/>
        </w:rPr>
        <w:t>二 、评分指标</w:t>
      </w:r>
    </w:p>
    <w:bookmarkEnd w:id="0"/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 w14:paraId="143D0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19CF568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学生领导同行评价（15%）</w:t>
            </w:r>
          </w:p>
        </w:tc>
        <w:tc>
          <w:tcPr>
            <w:tcW w:w="4148" w:type="dxa"/>
          </w:tcPr>
          <w:p w14:paraId="44F1257F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本学年度两个学期学生、领导、同行评价结果的平均分折合。</w:t>
            </w:r>
          </w:p>
        </w:tc>
      </w:tr>
      <w:tr w14:paraId="6541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3B24E465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教学工作规范</w:t>
            </w:r>
            <w:r>
              <w:rPr>
                <w:rFonts w:ascii="仿宋_GB2312" w:hAnsi="微软雅黑" w:eastAsia="仿宋_GB2312"/>
                <w:color w:val="323232"/>
              </w:rPr>
              <w:t>(</w:t>
            </w:r>
            <w:r>
              <w:rPr>
                <w:rFonts w:hint="eastAsia" w:ascii="仿宋_GB2312" w:hAnsi="微软雅黑" w:eastAsia="仿宋_GB2312"/>
                <w:color w:val="323232"/>
              </w:rPr>
              <w:t>15%</w:t>
            </w:r>
            <w:r>
              <w:rPr>
                <w:rFonts w:ascii="仿宋_GB2312" w:hAnsi="微软雅黑" w:eastAsia="仿宋_GB2312"/>
                <w:color w:val="323232"/>
              </w:rPr>
              <w:t>)</w:t>
            </w:r>
          </w:p>
        </w:tc>
        <w:tc>
          <w:tcPr>
            <w:tcW w:w="4148" w:type="dxa"/>
          </w:tcPr>
          <w:p w14:paraId="61CF9138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对授课计划、教案、教师教学自查表、学生评价表、教学工作手册、辅导答疑等规范程度给出综合评价（评价标准见相关文件）。</w:t>
            </w:r>
          </w:p>
        </w:tc>
      </w:tr>
      <w:tr w14:paraId="663C9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3D16E28B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教学改革分值标准(</w:t>
            </w:r>
            <w:r>
              <w:rPr>
                <w:rFonts w:ascii="仿宋_GB2312" w:hAnsi="微软雅黑" w:eastAsia="仿宋_GB2312"/>
                <w:color w:val="323232"/>
              </w:rPr>
              <w:t>10</w:t>
            </w:r>
            <w:r>
              <w:rPr>
                <w:rFonts w:hint="eastAsia" w:ascii="仿宋_GB2312" w:hAnsi="微软雅黑" w:eastAsia="仿宋_GB2312"/>
                <w:color w:val="323232"/>
              </w:rPr>
              <w:t>%</w:t>
            </w:r>
            <w:r>
              <w:rPr>
                <w:rFonts w:ascii="仿宋_GB2312" w:hAnsi="微软雅黑" w:eastAsia="仿宋_GB2312"/>
                <w:color w:val="323232"/>
              </w:rPr>
              <w:t>)</w:t>
            </w:r>
          </w:p>
        </w:tc>
        <w:tc>
          <w:tcPr>
            <w:tcW w:w="4148" w:type="dxa"/>
          </w:tcPr>
          <w:p w14:paraId="41908A44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(</w:t>
            </w:r>
            <w:r>
              <w:rPr>
                <w:rFonts w:ascii="仿宋_GB2312" w:hAnsi="微软雅黑" w:eastAsia="仿宋_GB2312"/>
                <w:color w:val="323232"/>
              </w:rPr>
              <w:t>1)</w:t>
            </w:r>
            <w:r>
              <w:rPr>
                <w:rFonts w:hint="eastAsia" w:ascii="仿宋_GB2312" w:hAnsi="微软雅黑" w:eastAsia="仿宋_GB2312"/>
                <w:color w:val="323232"/>
              </w:rPr>
              <w:t>教学成果奖：省级一等奖10分、二等奖8分、三等奖6分。［主持人系数为1，前三位参加人系数为0.6，其它人为0.4］。校级一等奖7分、二等奖4分、三等奖2分。［主持人系数为1，参加人得到证书者系数为0.6，其它人为0.4］。</w:t>
            </w:r>
          </w:p>
          <w:p w14:paraId="1138277B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（2）教改项目：省级教改5分，校级教改2分。［主持人系数为1，前三位参加人系数为0.6，其它人为0.4］</w:t>
            </w:r>
          </w:p>
        </w:tc>
      </w:tr>
      <w:tr w14:paraId="74E72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C21ED69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课堂教学质量(</w:t>
            </w:r>
            <w:r>
              <w:rPr>
                <w:rFonts w:ascii="仿宋_GB2312" w:hAnsi="微软雅黑" w:eastAsia="仿宋_GB2312"/>
                <w:color w:val="323232"/>
              </w:rPr>
              <w:t>3</w:t>
            </w:r>
            <w:r>
              <w:rPr>
                <w:rFonts w:hint="eastAsia" w:ascii="仿宋_GB2312" w:hAnsi="微软雅黑" w:eastAsia="仿宋_GB2312"/>
                <w:color w:val="323232"/>
              </w:rPr>
              <w:t>0%</w:t>
            </w:r>
            <w:r>
              <w:rPr>
                <w:rFonts w:ascii="仿宋_GB2312" w:hAnsi="微软雅黑" w:eastAsia="仿宋_GB2312"/>
                <w:color w:val="323232"/>
              </w:rPr>
              <w:t>)</w:t>
            </w:r>
          </w:p>
        </w:tc>
        <w:tc>
          <w:tcPr>
            <w:tcW w:w="4148" w:type="dxa"/>
          </w:tcPr>
          <w:p w14:paraId="27999E48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由学院组织教师组对申报教师进行听课，对每位教师课堂教学质量给出综合评价（评价标准见《课堂教学质量评价标准》）</w:t>
            </w:r>
          </w:p>
        </w:tc>
      </w:tr>
      <w:tr w14:paraId="765D3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0169FABE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专业、课程及教材建设(</w:t>
            </w:r>
            <w:r>
              <w:rPr>
                <w:rFonts w:ascii="仿宋_GB2312" w:hAnsi="微软雅黑" w:eastAsia="仿宋_GB2312"/>
                <w:color w:val="323232"/>
              </w:rPr>
              <w:t>10</w:t>
            </w:r>
            <w:r>
              <w:rPr>
                <w:rFonts w:hint="eastAsia" w:ascii="仿宋_GB2312" w:hAnsi="微软雅黑" w:eastAsia="仿宋_GB2312"/>
                <w:color w:val="323232"/>
              </w:rPr>
              <w:t>%</w:t>
            </w:r>
            <w:r>
              <w:rPr>
                <w:rFonts w:ascii="仿宋_GB2312" w:hAnsi="微软雅黑" w:eastAsia="仿宋_GB2312"/>
                <w:color w:val="323232"/>
              </w:rPr>
              <w:t>)</w:t>
            </w:r>
          </w:p>
        </w:tc>
        <w:tc>
          <w:tcPr>
            <w:tcW w:w="4148" w:type="dxa"/>
          </w:tcPr>
          <w:p w14:paraId="2E184B7D">
            <w:pPr>
              <w:widowControl/>
              <w:spacing w:before="100" w:beforeAutospacing="1" w:after="100" w:afterAutospacing="1"/>
              <w:jc w:val="left"/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省级以上项目10分，校级5分，其他2分。［负责人系数为1，前三名系数为0.6，其他参加人为0.4］。</w:t>
            </w:r>
          </w:p>
        </w:tc>
      </w:tr>
      <w:tr w14:paraId="416B1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B0892F6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科研促进教学分值标准（10%）</w:t>
            </w:r>
          </w:p>
        </w:tc>
        <w:tc>
          <w:tcPr>
            <w:tcW w:w="4148" w:type="dxa"/>
          </w:tcPr>
          <w:p w14:paraId="6145297E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指导学生参加竞赛A类获得国家（国际）一等奖10分，国家（国际）二等奖8分，国家（国际）三等奖及省一等奖以上6分，二等奖4分，三等奖2分。B类竞赛分值减半。</w:t>
            </w:r>
          </w:p>
        </w:tc>
      </w:tr>
      <w:tr w14:paraId="37423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07C75E0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评优小组（10%）</w:t>
            </w:r>
          </w:p>
        </w:tc>
        <w:tc>
          <w:tcPr>
            <w:tcW w:w="4148" w:type="dxa"/>
          </w:tcPr>
          <w:p w14:paraId="5D4E77D0">
            <w:pPr>
              <w:rPr>
                <w:rFonts w:ascii="仿宋_GB2312" w:hAnsi="微软雅黑" w:eastAsia="仿宋_GB2312"/>
                <w:color w:val="323232"/>
              </w:rPr>
            </w:pPr>
            <w:r>
              <w:rPr>
                <w:rFonts w:hint="eastAsia" w:ascii="仿宋_GB2312" w:hAnsi="微软雅黑" w:eastAsia="仿宋_GB2312"/>
                <w:color w:val="323232"/>
              </w:rPr>
              <w:t>对教师进行的综合评价</w:t>
            </w:r>
          </w:p>
        </w:tc>
      </w:tr>
    </w:tbl>
    <w:p w14:paraId="44246F54">
      <w:pPr>
        <w:rPr>
          <w:rFonts w:ascii="微软雅黑" w:hAnsi="微软雅黑" w:eastAsia="微软雅黑" w:cs="宋体"/>
          <w:color w:val="323232"/>
          <w:kern w:val="0"/>
          <w:sz w:val="18"/>
          <w:szCs w:val="18"/>
        </w:rPr>
      </w:pPr>
    </w:p>
    <w:p w14:paraId="7233B879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说明：教学成果奖为近5年，教学改革、专业、课程及教材建设为近3年，指导学生竞赛为上一年。</w:t>
      </w:r>
    </w:p>
    <w:p w14:paraId="3954CE67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三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评选程序</w:t>
      </w:r>
    </w:p>
    <w:p w14:paraId="5F5D2832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1</w:t>
      </w:r>
      <w:r>
        <w:rPr>
          <w:rFonts w:ascii="仿宋" w:hAnsi="仿宋" w:eastAsia="仿宋" w:cs="宋体"/>
          <w:color w:val="323232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  <w:lang w:eastAsia="zh-CN"/>
        </w:rPr>
        <w:t>在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学院教务办通知规定时间内申报；</w:t>
      </w:r>
    </w:p>
    <w:p w14:paraId="7966EF88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2</w:t>
      </w:r>
      <w:r>
        <w:rPr>
          <w:rFonts w:ascii="仿宋" w:hAnsi="仿宋" w:eastAsia="仿宋" w:cs="宋体"/>
          <w:color w:val="323232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学院组织相关教师听课、教学资料检查打分；</w:t>
      </w:r>
    </w:p>
    <w:p w14:paraId="2D43C237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3</w:t>
      </w:r>
      <w:r>
        <w:rPr>
          <w:rFonts w:ascii="仿宋" w:hAnsi="仿宋" w:eastAsia="仿宋" w:cs="宋体"/>
          <w:color w:val="323232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教务办计算分值；</w:t>
      </w:r>
    </w:p>
    <w:p w14:paraId="6221D3C9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4</w:t>
      </w:r>
      <w:r>
        <w:rPr>
          <w:rFonts w:ascii="仿宋" w:hAnsi="仿宋" w:eastAsia="仿宋" w:cs="宋体"/>
          <w:color w:val="323232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院务会投票或讨论确定。</w:t>
      </w:r>
    </w:p>
    <w:p w14:paraId="339CF9AA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5</w:t>
      </w:r>
      <w:r>
        <w:rPr>
          <w:rFonts w:ascii="仿宋" w:hAnsi="仿宋" w:eastAsia="仿宋" w:cs="宋体"/>
          <w:color w:val="323232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>公示，上报教务处。</w:t>
      </w:r>
    </w:p>
    <w:p w14:paraId="4657E8DE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</w:p>
    <w:p w14:paraId="4B5A3E5A">
      <w:pPr>
        <w:widowControl/>
        <w:spacing w:before="100" w:beforeAutospacing="1" w:after="100" w:afterAutospacing="1"/>
        <w:jc w:val="left"/>
        <w:rPr>
          <w:rFonts w:ascii="仿宋" w:hAnsi="仿宋" w:eastAsia="仿宋" w:cs="宋体"/>
          <w:color w:val="323232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23232"/>
          <w:kern w:val="0"/>
          <w:sz w:val="24"/>
          <w:szCs w:val="24"/>
        </w:rPr>
        <w:t xml:space="preserve">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42E4"/>
    <w:rsid w:val="00051939"/>
    <w:rsid w:val="00146EF9"/>
    <w:rsid w:val="00274E19"/>
    <w:rsid w:val="002A2DE9"/>
    <w:rsid w:val="002F7C29"/>
    <w:rsid w:val="00377AFC"/>
    <w:rsid w:val="00382851"/>
    <w:rsid w:val="00390F96"/>
    <w:rsid w:val="0049665A"/>
    <w:rsid w:val="004B38ED"/>
    <w:rsid w:val="004E50E3"/>
    <w:rsid w:val="00515FEC"/>
    <w:rsid w:val="005734F6"/>
    <w:rsid w:val="00644E2C"/>
    <w:rsid w:val="007170A3"/>
    <w:rsid w:val="007D27B1"/>
    <w:rsid w:val="00811A60"/>
    <w:rsid w:val="008E07EF"/>
    <w:rsid w:val="008E4F8F"/>
    <w:rsid w:val="009679BF"/>
    <w:rsid w:val="00A02235"/>
    <w:rsid w:val="00C04229"/>
    <w:rsid w:val="00C73B20"/>
    <w:rsid w:val="00E442E4"/>
    <w:rsid w:val="00E73AEB"/>
    <w:rsid w:val="00E85397"/>
    <w:rsid w:val="00EE47E5"/>
    <w:rsid w:val="00F877AF"/>
    <w:rsid w:val="33E930C6"/>
    <w:rsid w:val="65AC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